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2592705</wp:posOffset>
            </wp:positionH>
            <wp:positionV relativeFrom="paragraph">
              <wp:posOffset>15875</wp:posOffset>
            </wp:positionV>
            <wp:extent cx="776605" cy="68389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B52C6" w:rsidRDefault="0039418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364"/>
        </w:tabs>
        <w:ind w:left="1134" w:right="1276"/>
        <w:jc w:val="center"/>
        <w:rPr>
          <w:rFonts w:ascii="Kunstler Script" w:eastAsia="Kunstler Script" w:hAnsi="Kunstler Script" w:cs="Kunstler Script"/>
          <w:color w:val="000000"/>
          <w:sz w:val="96"/>
          <w:szCs w:val="96"/>
        </w:rPr>
      </w:pPr>
      <w:r>
        <w:rPr>
          <w:rFonts w:ascii="Kunstler Script" w:eastAsia="Kunstler Script" w:hAnsi="Kunstler Script" w:cs="Kunstler Script"/>
          <w:color w:val="000000"/>
          <w:sz w:val="96"/>
          <w:szCs w:val="96"/>
        </w:rPr>
        <w:t>Ministero della Salute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Ordinanza contingibile e urgente n. 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Il Ministro della Salute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di Intesa con il Presidente della Regione Autonoma Friuli Venezia Giulia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Misure urgenti in materia di contenimento e gestione dell’emergenza epidemiologica da COVID-2019.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5"/>
          <w:szCs w:val="25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Visti gli articoli 32, 117, comma 2, lettera q), e 118 della Costituzione;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Visto l’articolo 168 del Trattato sul Funzionamento dell’Unione Europea;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Visto l’a</w:t>
      </w:r>
      <w:r>
        <w:rPr>
          <w:color w:val="000000"/>
          <w:sz w:val="25"/>
          <w:szCs w:val="25"/>
        </w:rPr>
        <w:t>rticolo 32 della legge 23 dicembre 1978, n 833, recante Istituzione del Servizio Sanitario Nazionale;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Tenuto conto inoltre che l’Organizzazione Mondiale della Sanità il 30 gennaio 2020 ha dichiarato l’epidemia da COVID-19 un’emergenza di sanità pubblica di</w:t>
      </w:r>
      <w:r>
        <w:rPr>
          <w:color w:val="000000"/>
          <w:sz w:val="25"/>
          <w:szCs w:val="25"/>
        </w:rPr>
        <w:t xml:space="preserve"> rilevanza internazionale;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Visto che si sono verificati finora 25 casi nel territorio della Regione Veneto nei Comuni di Vò (PD) e in quello di Mira (VE) e che, per entrambi i Comuni, non è stato ancora identificato il caso indice;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Tenuto conto che tale ev</w:t>
      </w:r>
      <w:r>
        <w:rPr>
          <w:color w:val="000000"/>
          <w:sz w:val="25"/>
          <w:szCs w:val="25"/>
        </w:rPr>
        <w:t>ento potrebbe allargare i focolai epidemici anche ad altri territori della Regione Veneto e del territorio nazionale e che, essendo in corso la completa definizione della catena epidemiologica, non può escludersi il coinvolgimento di più ambiti del territo</w:t>
      </w:r>
      <w:r>
        <w:rPr>
          <w:color w:val="000000"/>
          <w:sz w:val="25"/>
          <w:szCs w:val="25"/>
        </w:rPr>
        <w:t>rio nazionale in assenza di immediate misure di contenimento,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Considerata la contiguità territoriale della Regione Autonoma Friuli Venezia Giulia rispetto alla Regione Veneto, con conseguente rilevante rischio che l’emergenza epidemiologica da COVID-19, in</w:t>
      </w:r>
      <w:r>
        <w:rPr>
          <w:color w:val="000000"/>
          <w:sz w:val="25"/>
          <w:szCs w:val="25"/>
        </w:rPr>
        <w:t xml:space="preserve"> atto sul territorio veneto, possa estendersi ed interessare la popolazione del Friuli Venezia Giulia;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Ritenuto pertanto che ricorrono le condizioni di necessità ed urgenza per emanare disposizioni per contrastare l’emergenza epidemiologica da COVID-19;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Pr</w:t>
      </w:r>
      <w:r>
        <w:rPr>
          <w:color w:val="000000"/>
          <w:sz w:val="25"/>
          <w:szCs w:val="25"/>
        </w:rPr>
        <w:t>eso atto dell’evolversi della situazione epidemiologica globale, del carattere particolarmente diffusivo dell’epidemia e dell’incremento dei casi e dei decessi notificati all’Organizzazione Mondiale della Sanità;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lastRenderedPageBreak/>
        <w:t>Art. 1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>(Misure urgenti per evitare la diffusione del COVID-19)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5"/>
          <w:szCs w:val="25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 Allo scopo di evitare il diffondersi del COVID-19 nella Regione Autonoma Friuli Venezia Giulia, il Presidente della Regione adotta straordinarie misure per il contenimento adeguato per contrastare</w:t>
      </w:r>
      <w:r>
        <w:rPr>
          <w:color w:val="000000"/>
          <w:sz w:val="25"/>
          <w:szCs w:val="25"/>
        </w:rPr>
        <w:t xml:space="preserve"> l’evolversi della situazione epidemiologica. 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 Le misure di cui al comma 1, sono le seguenti: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Sospensione di manifestazioni o iniziative di qualsiasi natura, di eventi in luogo pubblico o privato sia in luoghi chiusi che aperti al pubblico, anche di natura culturale, ludico, sportiva, religiosa; discoteche e locali notturni;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Chiusura dei servizi ed</w:t>
      </w:r>
      <w:r>
        <w:rPr>
          <w:color w:val="000000"/>
          <w:sz w:val="25"/>
          <w:szCs w:val="25"/>
        </w:rPr>
        <w:t>ucativi dell’infanzia e delle scuole di ogni ordine e grado nonché della frequenza delle attività scolastiche e di formazione superiore, corsi professionali, master, corsi per le professioni sanitarie, corsi per educazione degli adulti e dei servizi per il</w:t>
      </w:r>
      <w:r>
        <w:rPr>
          <w:color w:val="000000"/>
          <w:sz w:val="25"/>
          <w:szCs w:val="25"/>
        </w:rPr>
        <w:t xml:space="preserve"> diritto allo studio ad essi connessi, ad esclusione dei medici in formazione specialistica e tirocinanti delle professioni sanitarie, salvo le attività formative svolte a distanza;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Sospensione dei servizi di apertura al pubblico dei musei e degli altri is</w:t>
      </w:r>
      <w:r>
        <w:rPr>
          <w:color w:val="000000"/>
          <w:sz w:val="25"/>
          <w:szCs w:val="25"/>
        </w:rPr>
        <w:t>tituti e luoghi della cultura di cui all’articolo 101 del Codice dei beni culturali e del paesaggio di cui al D.Lgs. 42/2004, nonché dell’efficacia delle disposizioni regolamentari sull’accesso libero o gratuito a tali istituti o luoghi;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Sospensione di ogn</w:t>
      </w:r>
      <w:r>
        <w:rPr>
          <w:color w:val="000000"/>
          <w:sz w:val="25"/>
          <w:szCs w:val="25"/>
        </w:rPr>
        <w:t>i viaggio di istruzione sia sul territorio nazionale che estero;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Previsione dell’obbligo da parte di individui che hanno fatto ingresso nel Friuli Venezia Giulia da zone a rischio epidemiologico come identificate dall’Organizzazione Mondiale della Sanità d</w:t>
      </w:r>
      <w:r>
        <w:rPr>
          <w:color w:val="000000"/>
          <w:sz w:val="25"/>
          <w:szCs w:val="25"/>
        </w:rPr>
        <w:t>i comunicare tale circostanza al Dipartimento di Prevenzione dell’Azienda sanitaria competente per territorio per l’adozione della misura di permanenza domiciliare fiduciaria con sorveglianza attiva.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color w:val="000000"/>
          <w:sz w:val="25"/>
          <w:szCs w:val="25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Misure igieniche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5"/>
          <w:szCs w:val="25"/>
        </w:rPr>
        <w:t>per le malattie a diffusione respiratoria sottoriportate: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Lavarsi spesso le mani, a tal proposito si raccomanda di mettere a disposizione in tutti i locali pubblici, palestre, supermercati, farmacie, e altri luoghi di aggregazione soluzioni idroalcoliche per il lavaggio delle mani.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Evitare il contatto ravvicinato</w:t>
      </w:r>
      <w:r>
        <w:rPr>
          <w:color w:val="000000"/>
          <w:sz w:val="25"/>
          <w:szCs w:val="25"/>
        </w:rPr>
        <w:t xml:space="preserve"> con persone che soffrono di infezioni respiratorie acute.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Non toccarsi occhi, naso e bocca con le mani.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Coprirsi bocca e naso se si starnutisce o tossisce.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Non prendere farmaci antivirali né antibiotici, a meno che siano prescritti dal medico.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Pulire le s</w:t>
      </w:r>
      <w:r>
        <w:rPr>
          <w:color w:val="000000"/>
          <w:sz w:val="25"/>
          <w:szCs w:val="25"/>
        </w:rPr>
        <w:t>uperfici con disinfettanti a base di cloro o alcol.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Usare la mascherina solo se si sospetta di essere malati o si assiste persone malate.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I prodotti Made in China e i pacchi ricevuti dalla Cina non sono pericolosi.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Contattare il Numero unico di emergenza 1</w:t>
      </w:r>
      <w:r>
        <w:rPr>
          <w:color w:val="000000"/>
          <w:sz w:val="25"/>
          <w:szCs w:val="25"/>
        </w:rPr>
        <w:t>12 se si ha febbre o tosse e se si è tornati dalla Cina da meno di 14 giorni.</w:t>
      </w:r>
    </w:p>
    <w:p w:rsidR="002B52C6" w:rsidRDefault="00394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Gli animali da compagnia non diffondono il nuovo coronavirus.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5"/>
          <w:szCs w:val="25"/>
        </w:rPr>
      </w:pP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Le Direzioni sanitarie ospedaliere devono predisporre la limitazione dell’accesso dei semplici visitatori alle aree di degenza, preferibilmente una persona per paziente al giorno.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Le strutture sanitarie intermedie, (quali RSA), le residenze protette per an</w:t>
      </w:r>
      <w:r>
        <w:rPr>
          <w:color w:val="000000"/>
          <w:sz w:val="25"/>
          <w:szCs w:val="25"/>
        </w:rPr>
        <w:t>ziani e le strutture socio-assistenziali dovranno anch’esse limitare l’accesso dei visitatori agli ospiti.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Si raccomanda fortemente che il personale sanitario si attenga alle misure di prevenzione per la diffusione delle infezioni per via respiratoria nonc</w:t>
      </w:r>
      <w:r>
        <w:rPr>
          <w:color w:val="000000"/>
          <w:sz w:val="25"/>
          <w:szCs w:val="25"/>
        </w:rPr>
        <w:t>hè alla rigorosa applicazione delle indicazioni per la sanificazione e disinfezione degli ambienti previste dalle circolari ministeriali.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Deve essere predisposta dagli organismi competenti la disinfezione giornaliera dei treni regionali e di tutto il trasp</w:t>
      </w:r>
      <w:r>
        <w:rPr>
          <w:color w:val="000000"/>
          <w:sz w:val="25"/>
          <w:szCs w:val="25"/>
        </w:rPr>
        <w:t>orto pubblico locale via terra, via aere e via acqua.</w:t>
      </w:r>
    </w:p>
    <w:p w:rsidR="002B52C6" w:rsidRDefault="0039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Sospensione delle procedure concorsuali ad esclusione dei concorsi per personale sanitario.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color w:val="000000"/>
          <w:sz w:val="25"/>
          <w:szCs w:val="25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Art. 2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>(Durata delle misure urgenti per evitare la diffusione del COVID-19)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5"/>
          <w:szCs w:val="25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I provvedimenti della presente ordinanza avranno efficacia dalla data della firma del presente documento fino a tutto il 01.03.2020.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Questa ordinanza potrà essere soggetta a modifiche al</w:t>
      </w:r>
      <w:r>
        <w:rPr>
          <w:color w:val="000000"/>
          <w:sz w:val="25"/>
          <w:szCs w:val="25"/>
        </w:rPr>
        <w:t xml:space="preserve"> seguito del variare dello scenario epidemiologico.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Salvo il fatto che non costituisca più grave reato, il mancato rispetto delle misure di contenimento di cui al presente decreto è punito ai sensi dell’articolo 650 del codice penale.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Copia dell’ordinanza viene inviata i prefetti e ai Nuclei Antisofisticazione (NAS).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Palmanova, 23 febbraio 2020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Presidente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Il Ministro della Salute</w:t>
      </w: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della Regione </w:t>
      </w:r>
      <w:r>
        <w:rPr>
          <w:color w:val="000000"/>
          <w:sz w:val="25"/>
          <w:szCs w:val="25"/>
        </w:rPr>
        <w:t>Autonoma Friuli Venezia Giulia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B52C6" w:rsidRDefault="002B52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52C6" w:rsidRDefault="0039418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dott. Massimiliano Fedriga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dott. Roberto Speranza</w:t>
      </w:r>
    </w:p>
    <w:sectPr w:rsidR="002B52C6">
      <w:footerReference w:type="even" r:id="rId8"/>
      <w:footerReference w:type="default" r:id="rId9"/>
      <w:pgSz w:w="11906" w:h="16838"/>
      <w:pgMar w:top="1701" w:right="964" w:bottom="1276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8A" w:rsidRDefault="0039418A">
      <w:r>
        <w:separator/>
      </w:r>
    </w:p>
  </w:endnote>
  <w:endnote w:type="continuationSeparator" w:id="0">
    <w:p w:rsidR="0039418A" w:rsidRDefault="0039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2C6" w:rsidRDefault="003941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2B52C6" w:rsidRDefault="002B52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2C6" w:rsidRDefault="003941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1B3FDD">
      <w:rPr>
        <w:color w:val="000000"/>
        <w:sz w:val="24"/>
        <w:szCs w:val="24"/>
      </w:rPr>
      <w:fldChar w:fldCharType="separate"/>
    </w:r>
    <w:r w:rsidR="001B3FD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2B52C6" w:rsidRDefault="002B52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8A" w:rsidRDefault="0039418A">
      <w:r>
        <w:separator/>
      </w:r>
    </w:p>
  </w:footnote>
  <w:footnote w:type="continuationSeparator" w:id="0">
    <w:p w:rsidR="0039418A" w:rsidRDefault="0039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B24"/>
    <w:multiLevelType w:val="multilevel"/>
    <w:tmpl w:val="E03CE3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8778CF"/>
    <w:multiLevelType w:val="multilevel"/>
    <w:tmpl w:val="01FA40FE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C6"/>
    <w:rsid w:val="001B3FDD"/>
    <w:rsid w:val="002B52C6"/>
    <w:rsid w:val="003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0AEEA36-58D1-FF4F-9EE0-F03CCBD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griguolo</cp:lastModifiedBy>
  <cp:revision>2</cp:revision>
  <dcterms:created xsi:type="dcterms:W3CDTF">2020-02-23T19:58:00Z</dcterms:created>
  <dcterms:modified xsi:type="dcterms:W3CDTF">2020-02-23T19:58:00Z</dcterms:modified>
</cp:coreProperties>
</file>